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5327F5D4" w:rsidR="00E6395A" w:rsidRPr="005E32C6" w:rsidRDefault="00E6395A" w:rsidP="00E6395A">
      <w:pPr>
        <w:suppressAutoHyphens/>
        <w:jc w:val="center"/>
        <w:rPr>
          <w:b/>
          <w:spacing w:val="-2"/>
          <w:sz w:val="32"/>
        </w:rPr>
      </w:pPr>
      <w:r>
        <w:rPr>
          <w:b/>
          <w:spacing w:val="-2"/>
          <w:sz w:val="32"/>
        </w:rPr>
        <w:t>Ministry of Agriculture</w:t>
      </w:r>
      <w:r w:rsidR="00C130C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7CFEA07A" w14:textId="77777777" w:rsidR="00217B47" w:rsidRDefault="00EC50B8" w:rsidP="00C130C0">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217B47" w:rsidRPr="00217B47">
        <w:rPr>
          <w:rFonts w:ascii="Times New Roman" w:hAnsi="Times New Roman"/>
          <w:spacing w:val="-2"/>
          <w:sz w:val="24"/>
          <w:szCs w:val="24"/>
        </w:rPr>
        <w:t xml:space="preserve">Preparation of </w:t>
      </w:r>
      <w:r w:rsidR="00217B47" w:rsidRPr="00217B47">
        <w:rPr>
          <w:rFonts w:ascii="Times New Roman" w:hAnsi="Times New Roman"/>
          <w:spacing w:val="-2"/>
          <w:sz w:val="24"/>
          <w:szCs w:val="24"/>
        </w:rPr>
        <w:t xml:space="preserve">the </w:t>
      </w:r>
      <w:r w:rsidR="00217B47">
        <w:rPr>
          <w:rFonts w:ascii="Times New Roman" w:hAnsi="Times New Roman"/>
          <w:spacing w:val="-2"/>
          <w:sz w:val="24"/>
          <w:szCs w:val="24"/>
        </w:rPr>
        <w:t>S</w:t>
      </w:r>
      <w:r w:rsidR="00217B47" w:rsidRPr="00217B47">
        <w:rPr>
          <w:rFonts w:ascii="Times New Roman" w:hAnsi="Times New Roman"/>
          <w:spacing w:val="-2"/>
          <w:sz w:val="24"/>
          <w:szCs w:val="24"/>
        </w:rPr>
        <w:t xml:space="preserve">trategy for the development of </w:t>
      </w:r>
      <w:r w:rsidR="00217B47">
        <w:rPr>
          <w:rFonts w:ascii="Times New Roman" w:hAnsi="Times New Roman"/>
          <w:spacing w:val="-2"/>
          <w:sz w:val="24"/>
          <w:szCs w:val="24"/>
        </w:rPr>
        <w:t>A</w:t>
      </w:r>
      <w:r w:rsidR="00217B47" w:rsidRPr="00217B47">
        <w:rPr>
          <w:rFonts w:ascii="Times New Roman" w:hAnsi="Times New Roman"/>
          <w:spacing w:val="-2"/>
          <w:sz w:val="24"/>
          <w:szCs w:val="24"/>
        </w:rPr>
        <w:t xml:space="preserve">griculture and </w:t>
      </w:r>
      <w:r w:rsidR="00217B47">
        <w:rPr>
          <w:rFonts w:ascii="Times New Roman" w:hAnsi="Times New Roman"/>
          <w:spacing w:val="-2"/>
          <w:sz w:val="24"/>
          <w:szCs w:val="24"/>
        </w:rPr>
        <w:t>R</w:t>
      </w:r>
      <w:r w:rsidR="00217B47" w:rsidRPr="00217B47">
        <w:rPr>
          <w:rFonts w:ascii="Times New Roman" w:hAnsi="Times New Roman"/>
          <w:spacing w:val="-2"/>
          <w:sz w:val="24"/>
          <w:szCs w:val="24"/>
        </w:rPr>
        <w:t xml:space="preserve">ural areas 2022-2028 </w:t>
      </w:r>
    </w:p>
    <w:p w14:paraId="3B0BBDA7" w14:textId="46A6830F" w:rsidR="00EC50B8" w:rsidRPr="00134CCE" w:rsidRDefault="00EC50B8" w:rsidP="00C130C0">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C130C0">
        <w:rPr>
          <w:rFonts w:ascii="Times New Roman" w:hAnsi="Times New Roman"/>
          <w:spacing w:val="-2"/>
          <w:sz w:val="24"/>
          <w:szCs w:val="24"/>
        </w:rPr>
        <w:t>21</w:t>
      </w:r>
      <w:r w:rsidR="00E6395A" w:rsidRPr="00134CCE">
        <w:rPr>
          <w:rFonts w:ascii="Times New Roman" w:hAnsi="Times New Roman"/>
          <w:spacing w:val="-2"/>
          <w:sz w:val="24"/>
          <w:szCs w:val="24"/>
        </w:rPr>
        <w:t>-</w:t>
      </w:r>
      <w:r w:rsidR="00B616A8" w:rsidRPr="00B616A8">
        <w:rPr>
          <w:rFonts w:ascii="Times New Roman" w:hAnsi="Times New Roman"/>
          <w:spacing w:val="-2"/>
          <w:sz w:val="24"/>
          <w:szCs w:val="24"/>
        </w:rPr>
        <w:t>1.2.</w:t>
      </w:r>
      <w:r w:rsidR="00217B47">
        <w:rPr>
          <w:rFonts w:ascii="Times New Roman" w:hAnsi="Times New Roman"/>
          <w:spacing w:val="-2"/>
          <w:sz w:val="24"/>
          <w:szCs w:val="24"/>
        </w:rPr>
        <w:t>3.24</w:t>
      </w:r>
    </w:p>
    <w:p w14:paraId="4C77877C" w14:textId="77777777" w:rsidR="009830E4" w:rsidRPr="00134CCE" w:rsidRDefault="009830E4">
      <w:pPr>
        <w:suppressAutoHyphens/>
        <w:rPr>
          <w:rFonts w:ascii="Times New Roman" w:hAnsi="Times New Roman"/>
          <w:spacing w:val="-2"/>
          <w:sz w:val="24"/>
          <w:szCs w:val="24"/>
        </w:rPr>
      </w:pPr>
    </w:p>
    <w:p w14:paraId="20957564" w14:textId="5A44729A"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17B47" w:rsidRPr="00217B47">
        <w:rPr>
          <w:rFonts w:ascii="Times New Roman" w:hAnsi="Times New Roman"/>
          <w:spacing w:val="-2"/>
          <w:sz w:val="24"/>
          <w:szCs w:val="24"/>
        </w:rPr>
        <w:t>Preparation of the Strategy for the development of Agriculture and Rural areas 2022-2028</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C130C0">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6B9A7000" w14:textId="3A4E20DB" w:rsidR="00217B47" w:rsidRPr="00217B47" w:rsidRDefault="00217B47" w:rsidP="00217B47">
      <w:pPr>
        <w:suppressAutoHyphens/>
        <w:jc w:val="both"/>
        <w:rPr>
          <w:rFonts w:ascii="Times New Roman" w:hAnsi="Times New Roman"/>
          <w:spacing w:val="-2"/>
          <w:sz w:val="24"/>
          <w:szCs w:val="24"/>
        </w:rPr>
      </w:pPr>
      <w:r w:rsidRPr="00217B47">
        <w:rPr>
          <w:rFonts w:ascii="Times New Roman" w:hAnsi="Times New Roman"/>
          <w:spacing w:val="-2"/>
          <w:sz w:val="24"/>
          <w:szCs w:val="24"/>
        </w:rPr>
        <w:t>The overall objective of th</w:t>
      </w:r>
      <w:r>
        <w:rPr>
          <w:rFonts w:ascii="Times New Roman" w:hAnsi="Times New Roman"/>
          <w:spacing w:val="-2"/>
          <w:sz w:val="24"/>
          <w:szCs w:val="24"/>
        </w:rPr>
        <w:t xml:space="preserve">is consultant service (“the Service”) </w:t>
      </w:r>
      <w:r w:rsidRPr="00217B47">
        <w:rPr>
          <w:rFonts w:ascii="Times New Roman" w:hAnsi="Times New Roman"/>
          <w:spacing w:val="-2"/>
          <w:sz w:val="24"/>
          <w:szCs w:val="24"/>
        </w:rPr>
        <w:t>is to develop the Strategy for Agriculture and Rural Development 2022-2028 with Action Plan (long term) and detailed Action Plan (short term) for first two years of implementation.</w:t>
      </w:r>
    </w:p>
    <w:p w14:paraId="1EC7A065" w14:textId="12CF5790" w:rsidR="00217B47" w:rsidRPr="00217B47" w:rsidRDefault="00217B47" w:rsidP="00217B47">
      <w:pPr>
        <w:suppressAutoHyphens/>
        <w:jc w:val="both"/>
        <w:rPr>
          <w:rFonts w:ascii="Times New Roman" w:hAnsi="Times New Roman"/>
          <w:spacing w:val="-2"/>
          <w:sz w:val="24"/>
          <w:szCs w:val="24"/>
        </w:rPr>
      </w:pPr>
      <w:r w:rsidRPr="00217B47">
        <w:rPr>
          <w:rFonts w:ascii="Times New Roman" w:hAnsi="Times New Roman"/>
          <w:spacing w:val="-2"/>
          <w:sz w:val="24"/>
          <w:szCs w:val="24"/>
        </w:rPr>
        <w:t xml:space="preserve">The specific objective of this </w:t>
      </w:r>
      <w:r>
        <w:rPr>
          <w:rFonts w:ascii="Times New Roman" w:hAnsi="Times New Roman"/>
          <w:spacing w:val="-2"/>
          <w:sz w:val="24"/>
          <w:szCs w:val="24"/>
        </w:rPr>
        <w:t>service</w:t>
      </w:r>
      <w:r w:rsidRPr="00217B47">
        <w:rPr>
          <w:rFonts w:ascii="Times New Roman" w:hAnsi="Times New Roman"/>
          <w:spacing w:val="-2"/>
          <w:sz w:val="24"/>
          <w:szCs w:val="24"/>
        </w:rPr>
        <w:t xml:space="preserve"> is preparation of the Strategy for Agriculture and Rural Development 2022-2028, according to provisions of Montenegro’s Government Regulation on the manner and procedure of drafting, harmonizing and monitoring the implementation of strategic documents, which was published in the "Official Gazette of Montenegro"</w:t>
      </w:r>
      <w:r>
        <w:rPr>
          <w:rFonts w:ascii="Times New Roman" w:hAnsi="Times New Roman"/>
          <w:spacing w:val="-2"/>
          <w:sz w:val="24"/>
          <w:szCs w:val="24"/>
        </w:rPr>
        <w:t>.</w:t>
      </w:r>
    </w:p>
    <w:p w14:paraId="12931370" w14:textId="375EE4E3" w:rsidR="00B616A8" w:rsidRDefault="00217B47" w:rsidP="00217B47">
      <w:pPr>
        <w:suppressAutoHyphens/>
        <w:jc w:val="both"/>
        <w:rPr>
          <w:rFonts w:ascii="Times New Roman" w:hAnsi="Times New Roman"/>
          <w:spacing w:val="-2"/>
          <w:sz w:val="24"/>
          <w:szCs w:val="24"/>
        </w:rPr>
      </w:pPr>
      <w:r w:rsidRPr="00217B47">
        <w:rPr>
          <w:rFonts w:ascii="Times New Roman" w:hAnsi="Times New Roman"/>
          <w:spacing w:val="-2"/>
          <w:sz w:val="24"/>
          <w:szCs w:val="24"/>
        </w:rPr>
        <w:t>The draft strategy should state the strategic objectives, operational objectives and activities for achieving the strategic objectives in the field of agriculture and rural development.</w:t>
      </w:r>
    </w:p>
    <w:p w14:paraId="4E7FAD6F" w14:textId="77777777" w:rsidR="00217B47" w:rsidRDefault="00217B47" w:rsidP="00217B47">
      <w:pPr>
        <w:suppressAutoHyphens/>
        <w:jc w:val="both"/>
        <w:rPr>
          <w:rFonts w:ascii="Times New Roman" w:hAnsi="Times New Roman"/>
          <w:spacing w:val="-2"/>
          <w:sz w:val="24"/>
          <w:szCs w:val="24"/>
        </w:rPr>
      </w:pPr>
    </w:p>
    <w:p w14:paraId="79B473A3" w14:textId="34110A38" w:rsidR="001C3893" w:rsidRDefault="00217B47" w:rsidP="00875353">
      <w:pPr>
        <w:suppressAutoHyphens/>
        <w:jc w:val="both"/>
        <w:rPr>
          <w:rFonts w:ascii="Times New Roman" w:hAnsi="Times New Roman"/>
          <w:spacing w:val="-2"/>
          <w:sz w:val="24"/>
        </w:rPr>
      </w:pPr>
      <w:r>
        <w:rPr>
          <w:rFonts w:ascii="Times New Roman" w:hAnsi="Times New Roman"/>
          <w:spacing w:val="-2"/>
          <w:sz w:val="24"/>
        </w:rPr>
        <w:t xml:space="preserve">Service </w:t>
      </w:r>
      <w:r w:rsidR="001C3893" w:rsidRPr="00875353">
        <w:rPr>
          <w:rFonts w:ascii="Times New Roman" w:hAnsi="Times New Roman"/>
          <w:spacing w:val="-2"/>
          <w:sz w:val="24"/>
        </w:rPr>
        <w:t xml:space="preserve">will have </w:t>
      </w:r>
      <w:r w:rsidR="00FA361A" w:rsidRPr="00FA361A">
        <w:rPr>
          <w:rFonts w:ascii="Times New Roman" w:hAnsi="Times New Roman"/>
          <w:spacing w:val="-2"/>
          <w:sz w:val="24"/>
        </w:rPr>
        <w:t xml:space="preserve">a duration of 6 (six) months and the required level of inputs is estimated at a total of 100 working days, working from home and on site, depending on the agreement with the beneficiary (at least 50 days of the </w:t>
      </w:r>
      <w:r w:rsidR="002C3D26">
        <w:rPr>
          <w:rFonts w:ascii="Times New Roman" w:hAnsi="Times New Roman"/>
          <w:spacing w:val="-2"/>
          <w:sz w:val="24"/>
        </w:rPr>
        <w:t>service</w:t>
      </w:r>
      <w:r w:rsidR="00FA361A" w:rsidRPr="00FA361A">
        <w:rPr>
          <w:rFonts w:ascii="Times New Roman" w:hAnsi="Times New Roman"/>
          <w:spacing w:val="-2"/>
          <w:sz w:val="24"/>
        </w:rPr>
        <w:t xml:space="preserve"> should be done on site). The video conference can replace opening meeting and/or consultations due to ongoing COVID-19 pandemic.</w:t>
      </w:r>
    </w:p>
    <w:p w14:paraId="3CBEDBB6" w14:textId="77777777" w:rsidR="00FA361A" w:rsidRDefault="00FA361A" w:rsidP="00875353">
      <w:pPr>
        <w:suppressAutoHyphens/>
        <w:jc w:val="both"/>
        <w:rPr>
          <w:rFonts w:ascii="Times New Roman" w:hAnsi="Times New Roman"/>
          <w:spacing w:val="-2"/>
          <w:sz w:val="24"/>
          <w:szCs w:val="24"/>
        </w:rPr>
      </w:pPr>
    </w:p>
    <w:p w14:paraId="2469DD4E" w14:textId="001AFAEA" w:rsidR="001C3893" w:rsidRPr="00D12616" w:rsidRDefault="00825B5C" w:rsidP="00916E24">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w:t>
      </w:r>
      <w:r w:rsidR="002C3D26">
        <w:rPr>
          <w:rFonts w:ascii="Times New Roman" w:hAnsi="Times New Roman"/>
          <w:spacing w:val="-2"/>
          <w:sz w:val="24"/>
          <w:szCs w:val="24"/>
        </w:rPr>
        <w:t>this</w:t>
      </w:r>
      <w:r w:rsidRPr="00D12616">
        <w:rPr>
          <w:rFonts w:ascii="Times New Roman" w:hAnsi="Times New Roman"/>
          <w:spacing w:val="-2"/>
          <w:sz w:val="24"/>
          <w:szCs w:val="24"/>
        </w:rPr>
        <w:t xml:space="preserve"> </w:t>
      </w:r>
      <w:r w:rsidR="002C3D26">
        <w:rPr>
          <w:rFonts w:ascii="Times New Roman" w:hAnsi="Times New Roman"/>
          <w:spacing w:val="-2"/>
          <w:sz w:val="24"/>
          <w:szCs w:val="24"/>
        </w:rPr>
        <w:t>service</w:t>
      </w:r>
      <w:r w:rsidRPr="00D12616">
        <w:rPr>
          <w:rFonts w:ascii="Times New Roman" w:hAnsi="Times New Roman"/>
          <w:spacing w:val="-2"/>
          <w:sz w:val="24"/>
          <w:szCs w:val="24"/>
        </w:rPr>
        <w:t xml:space="preserve">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3C9B97F9" w14:textId="3FAD905C"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89521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w:t>
      </w:r>
      <w:r>
        <w:rPr>
          <w:rFonts w:ascii="Times New Roman" w:hAnsi="Times New Roman"/>
          <w:spacing w:val="-2"/>
          <w:sz w:val="24"/>
        </w:rPr>
        <w:lastRenderedPageBreak/>
        <w:t xml:space="preserve">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9138BD">
        <w:rPr>
          <w:rFonts w:ascii="Times New Roman" w:hAnsi="Times New Roman"/>
          <w:sz w:val="24"/>
          <w:szCs w:val="24"/>
          <w:lang w:val="en-GB"/>
        </w:rPr>
        <w:t xml:space="preserve"> Contract will be signed with proposed individuals.</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p w14:paraId="6739FA49" w14:textId="77777777" w:rsidR="00FA361A" w:rsidRPr="00FA361A" w:rsidRDefault="00FA361A" w:rsidP="00FA361A">
      <w:pPr>
        <w:suppressAutoHyphens/>
        <w:jc w:val="both"/>
        <w:rPr>
          <w:rFonts w:ascii="Times New Roman" w:hAnsi="Times New Roman"/>
          <w:color w:val="000000" w:themeColor="text1"/>
          <w:sz w:val="24"/>
          <w:szCs w:val="24"/>
          <w:u w:val="single"/>
        </w:rPr>
      </w:pPr>
      <w:r w:rsidRPr="00FA361A">
        <w:rPr>
          <w:rFonts w:ascii="Times New Roman" w:hAnsi="Times New Roman"/>
          <w:color w:val="000000" w:themeColor="text1"/>
          <w:sz w:val="24"/>
          <w:szCs w:val="24"/>
          <w:u w:val="single"/>
        </w:rPr>
        <w:t>Essential (mandatory) qualifications</w:t>
      </w:r>
    </w:p>
    <w:p w14:paraId="3643BB88" w14:textId="77777777" w:rsidR="00FA361A" w:rsidRPr="00FA361A" w:rsidRDefault="00FA361A" w:rsidP="00FA361A">
      <w:pPr>
        <w:numPr>
          <w:ilvl w:val="0"/>
          <w:numId w:val="6"/>
        </w:numPr>
        <w:suppressAutoHyphens/>
        <w:ind w:left="426"/>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 xml:space="preserve">University degree or Ph. D. degree in agricultural engineering, natural or economic Sciences. In absence of such a degree from the requested fields, the expert will have an equivalent professional experience of minimum 15 years in the field of agriculture and/or economy, </w:t>
      </w:r>
    </w:p>
    <w:p w14:paraId="5F7E114B" w14:textId="77777777" w:rsidR="00FA361A" w:rsidRPr="00FA361A" w:rsidRDefault="00FA361A" w:rsidP="00FA361A">
      <w:pPr>
        <w:numPr>
          <w:ilvl w:val="0"/>
          <w:numId w:val="6"/>
        </w:numPr>
        <w:suppressAutoHyphens/>
        <w:ind w:left="426"/>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At least 10 years of professional experience in the field of similar to this assignment (related to development of the strategic documents in the area of agriculture),</w:t>
      </w:r>
    </w:p>
    <w:p w14:paraId="026A4FA1" w14:textId="77777777" w:rsidR="00FA361A" w:rsidRPr="00FA361A" w:rsidRDefault="00FA361A" w:rsidP="00FA361A">
      <w:pPr>
        <w:numPr>
          <w:ilvl w:val="0"/>
          <w:numId w:val="6"/>
        </w:numPr>
        <w:suppressAutoHyphens/>
        <w:ind w:left="426"/>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 xml:space="preserve">At least two (2) similar assignment (in terms of nature, complexity, method and other characteristics described in the </w:t>
      </w:r>
      <w:proofErr w:type="spellStart"/>
      <w:r w:rsidRPr="00FA361A">
        <w:rPr>
          <w:rFonts w:ascii="Times New Roman" w:hAnsi="Times New Roman"/>
          <w:color w:val="000000" w:themeColor="text1"/>
          <w:sz w:val="24"/>
          <w:szCs w:val="24"/>
        </w:rPr>
        <w:t>ToR</w:t>
      </w:r>
      <w:proofErr w:type="spellEnd"/>
      <w:r w:rsidRPr="00FA361A">
        <w:rPr>
          <w:rFonts w:ascii="Times New Roman" w:hAnsi="Times New Roman"/>
          <w:color w:val="000000" w:themeColor="text1"/>
          <w:sz w:val="24"/>
          <w:szCs w:val="24"/>
        </w:rPr>
        <w:t>) conducted during the last seven (7) years.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w:t>
      </w:r>
    </w:p>
    <w:p w14:paraId="437D7DBF" w14:textId="77777777" w:rsidR="00FA361A" w:rsidRPr="00FA361A" w:rsidRDefault="00FA361A" w:rsidP="00FA361A">
      <w:pPr>
        <w:numPr>
          <w:ilvl w:val="0"/>
          <w:numId w:val="6"/>
        </w:numPr>
        <w:suppressAutoHyphens/>
        <w:ind w:left="426"/>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Demonstrated experience in implementation of EU measures (including pre-accession period) related to the agriculture, rural development and forestry,</w:t>
      </w:r>
    </w:p>
    <w:p w14:paraId="404DF350" w14:textId="77777777" w:rsidR="00FA361A" w:rsidRPr="00FA361A" w:rsidRDefault="00FA361A" w:rsidP="00FA361A">
      <w:pPr>
        <w:numPr>
          <w:ilvl w:val="0"/>
          <w:numId w:val="6"/>
        </w:numPr>
        <w:suppressAutoHyphens/>
        <w:ind w:left="426"/>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Excellent command of the English language, and strong oral and written communication.</w:t>
      </w:r>
    </w:p>
    <w:p w14:paraId="097C1643" w14:textId="77777777" w:rsidR="00FA361A" w:rsidRPr="00FA361A" w:rsidRDefault="00FA361A" w:rsidP="00FA361A">
      <w:pPr>
        <w:suppressAutoHyphens/>
        <w:jc w:val="both"/>
        <w:rPr>
          <w:rFonts w:ascii="Times New Roman" w:hAnsi="Times New Roman"/>
          <w:color w:val="000000" w:themeColor="text1"/>
          <w:sz w:val="24"/>
          <w:szCs w:val="24"/>
        </w:rPr>
      </w:pPr>
    </w:p>
    <w:p w14:paraId="786EC5C7" w14:textId="77777777" w:rsidR="00FA361A" w:rsidRPr="00FA361A" w:rsidRDefault="00FA361A" w:rsidP="00FA361A">
      <w:pPr>
        <w:suppressAutoHyphens/>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 xml:space="preserve">Evaluation criteria: </w:t>
      </w:r>
    </w:p>
    <w:tbl>
      <w:tblPr>
        <w:tblW w:w="8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1512"/>
      </w:tblGrid>
      <w:tr w:rsidR="00FA361A" w:rsidRPr="00FA361A" w14:paraId="02FDB986" w14:textId="77777777" w:rsidTr="00FA361A">
        <w:tc>
          <w:tcPr>
            <w:tcW w:w="6840" w:type="dxa"/>
            <w:shd w:val="clear" w:color="auto" w:fill="D9D9D9"/>
          </w:tcPr>
          <w:p w14:paraId="4CA66166" w14:textId="77777777" w:rsidR="00FA361A" w:rsidRPr="00FA361A" w:rsidRDefault="00FA361A" w:rsidP="00FA361A">
            <w:pPr>
              <w:suppressAutoHyphens/>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Qualifications</w:t>
            </w:r>
          </w:p>
        </w:tc>
        <w:tc>
          <w:tcPr>
            <w:tcW w:w="1512" w:type="dxa"/>
            <w:shd w:val="clear" w:color="auto" w:fill="D9D9D9"/>
          </w:tcPr>
          <w:p w14:paraId="25F35482" w14:textId="77777777" w:rsidR="00FA361A" w:rsidRPr="00FA361A" w:rsidRDefault="00FA361A" w:rsidP="00FA361A">
            <w:pPr>
              <w:suppressAutoHyphens/>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Points (max)</w:t>
            </w:r>
          </w:p>
        </w:tc>
      </w:tr>
      <w:tr w:rsidR="00FA361A" w:rsidRPr="00FA361A" w14:paraId="7F3AF291" w14:textId="77777777" w:rsidTr="00FA361A">
        <w:tc>
          <w:tcPr>
            <w:tcW w:w="6840" w:type="dxa"/>
          </w:tcPr>
          <w:p w14:paraId="5AC3094B" w14:textId="77777777" w:rsidR="00FA361A" w:rsidRPr="00FA361A" w:rsidRDefault="00FA361A" w:rsidP="00FA361A">
            <w:pPr>
              <w:suppressAutoHyphens/>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Years of experience in the field of similar to this assignment (related to development of the strategic documents in the area of agriculture and rural development)</w:t>
            </w:r>
          </w:p>
        </w:tc>
        <w:tc>
          <w:tcPr>
            <w:tcW w:w="1512" w:type="dxa"/>
            <w:vAlign w:val="center"/>
          </w:tcPr>
          <w:p w14:paraId="07486442" w14:textId="77777777" w:rsidR="00FA361A" w:rsidRPr="00FA361A" w:rsidRDefault="00FA361A" w:rsidP="00FA361A">
            <w:pPr>
              <w:suppressAutoHyphens/>
              <w:jc w:val="center"/>
              <w:rPr>
                <w:rFonts w:ascii="Times New Roman" w:hAnsi="Times New Roman"/>
                <w:color w:val="000000" w:themeColor="text1"/>
                <w:sz w:val="24"/>
                <w:szCs w:val="24"/>
              </w:rPr>
            </w:pPr>
            <w:r w:rsidRPr="00FA361A">
              <w:rPr>
                <w:rFonts w:ascii="Times New Roman" w:hAnsi="Times New Roman"/>
                <w:color w:val="000000" w:themeColor="text1"/>
                <w:sz w:val="24"/>
                <w:szCs w:val="24"/>
              </w:rPr>
              <w:t>45</w:t>
            </w:r>
          </w:p>
        </w:tc>
      </w:tr>
      <w:tr w:rsidR="00FA361A" w:rsidRPr="00FA361A" w14:paraId="14371801" w14:textId="77777777" w:rsidTr="00FA361A">
        <w:trPr>
          <w:trHeight w:val="550"/>
        </w:trPr>
        <w:tc>
          <w:tcPr>
            <w:tcW w:w="6840" w:type="dxa"/>
          </w:tcPr>
          <w:p w14:paraId="1378A688" w14:textId="77777777" w:rsidR="00FA361A" w:rsidRPr="00FA361A" w:rsidRDefault="00FA361A" w:rsidP="00FA361A">
            <w:pPr>
              <w:suppressAutoHyphens/>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 xml:space="preserve">Number of similar assignments (in terms of nature, complexity, method and other characteristics described in the </w:t>
            </w:r>
            <w:proofErr w:type="spellStart"/>
            <w:r w:rsidRPr="00FA361A">
              <w:rPr>
                <w:rFonts w:ascii="Times New Roman" w:hAnsi="Times New Roman"/>
                <w:color w:val="000000" w:themeColor="text1"/>
                <w:sz w:val="24"/>
                <w:szCs w:val="24"/>
              </w:rPr>
              <w:t>ToR</w:t>
            </w:r>
            <w:proofErr w:type="spellEnd"/>
            <w:r w:rsidRPr="00FA361A">
              <w:rPr>
                <w:rFonts w:ascii="Times New Roman" w:hAnsi="Times New Roman"/>
                <w:color w:val="000000" w:themeColor="text1"/>
                <w:sz w:val="24"/>
                <w:szCs w:val="24"/>
              </w:rPr>
              <w:t xml:space="preserve">) conducted during the last seven (7) years </w:t>
            </w:r>
          </w:p>
        </w:tc>
        <w:tc>
          <w:tcPr>
            <w:tcW w:w="1512" w:type="dxa"/>
            <w:vAlign w:val="center"/>
          </w:tcPr>
          <w:p w14:paraId="16995AA5" w14:textId="77777777" w:rsidR="00FA361A" w:rsidRPr="00FA361A" w:rsidRDefault="00FA361A" w:rsidP="00FA361A">
            <w:pPr>
              <w:suppressAutoHyphens/>
              <w:jc w:val="center"/>
              <w:rPr>
                <w:rFonts w:ascii="Times New Roman" w:hAnsi="Times New Roman"/>
                <w:color w:val="000000" w:themeColor="text1"/>
                <w:sz w:val="24"/>
                <w:szCs w:val="24"/>
              </w:rPr>
            </w:pPr>
            <w:r w:rsidRPr="00FA361A">
              <w:rPr>
                <w:rFonts w:ascii="Times New Roman" w:hAnsi="Times New Roman"/>
                <w:color w:val="000000" w:themeColor="text1"/>
                <w:sz w:val="24"/>
                <w:szCs w:val="24"/>
              </w:rPr>
              <w:t>30</w:t>
            </w:r>
          </w:p>
        </w:tc>
      </w:tr>
      <w:tr w:rsidR="00FA361A" w:rsidRPr="00FA361A" w14:paraId="6E7A6C9D" w14:textId="77777777" w:rsidTr="00FA361A">
        <w:tc>
          <w:tcPr>
            <w:tcW w:w="6840" w:type="dxa"/>
          </w:tcPr>
          <w:p w14:paraId="20A08A59" w14:textId="77777777" w:rsidR="00FA361A" w:rsidRPr="00FA361A" w:rsidRDefault="00FA361A" w:rsidP="00FA361A">
            <w:pPr>
              <w:suppressAutoHyphens/>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Experience in implementation of EU measures related to the agriculture (including pre-accession period) related to the agriculture, rural development and forestry</w:t>
            </w:r>
          </w:p>
        </w:tc>
        <w:tc>
          <w:tcPr>
            <w:tcW w:w="1512" w:type="dxa"/>
            <w:vAlign w:val="center"/>
          </w:tcPr>
          <w:p w14:paraId="49E843B6" w14:textId="77777777" w:rsidR="00FA361A" w:rsidRPr="00FA361A" w:rsidRDefault="00FA361A" w:rsidP="00FA361A">
            <w:pPr>
              <w:suppressAutoHyphens/>
              <w:jc w:val="center"/>
              <w:rPr>
                <w:rFonts w:ascii="Times New Roman" w:hAnsi="Times New Roman"/>
                <w:color w:val="000000" w:themeColor="text1"/>
                <w:sz w:val="24"/>
                <w:szCs w:val="24"/>
              </w:rPr>
            </w:pPr>
            <w:r w:rsidRPr="00FA361A">
              <w:rPr>
                <w:rFonts w:ascii="Times New Roman" w:hAnsi="Times New Roman"/>
                <w:color w:val="000000" w:themeColor="text1"/>
                <w:sz w:val="24"/>
                <w:szCs w:val="24"/>
              </w:rPr>
              <w:t>20</w:t>
            </w:r>
          </w:p>
        </w:tc>
      </w:tr>
      <w:tr w:rsidR="00FA361A" w:rsidRPr="00FA361A" w14:paraId="6C4CBA67" w14:textId="77777777" w:rsidTr="00FA361A">
        <w:tc>
          <w:tcPr>
            <w:tcW w:w="6840" w:type="dxa"/>
          </w:tcPr>
          <w:p w14:paraId="69A5B885" w14:textId="77777777" w:rsidR="00FA361A" w:rsidRPr="00FA361A" w:rsidRDefault="00FA361A" w:rsidP="00FA361A">
            <w:pPr>
              <w:suppressAutoHyphens/>
              <w:jc w:val="both"/>
              <w:rPr>
                <w:rFonts w:ascii="Times New Roman" w:hAnsi="Times New Roman"/>
                <w:color w:val="000000" w:themeColor="text1"/>
                <w:sz w:val="24"/>
                <w:szCs w:val="24"/>
              </w:rPr>
            </w:pPr>
            <w:r w:rsidRPr="00FA361A">
              <w:rPr>
                <w:rFonts w:ascii="Times New Roman" w:hAnsi="Times New Roman"/>
                <w:color w:val="000000" w:themeColor="text1"/>
                <w:sz w:val="24"/>
                <w:szCs w:val="24"/>
              </w:rPr>
              <w:t>Experience in capacity building of public institutions.</w:t>
            </w:r>
          </w:p>
        </w:tc>
        <w:tc>
          <w:tcPr>
            <w:tcW w:w="1512" w:type="dxa"/>
            <w:vAlign w:val="center"/>
          </w:tcPr>
          <w:p w14:paraId="15A4BF54" w14:textId="77777777" w:rsidR="00FA361A" w:rsidRPr="00FA361A" w:rsidRDefault="00FA361A" w:rsidP="00FA361A">
            <w:pPr>
              <w:suppressAutoHyphens/>
              <w:jc w:val="center"/>
              <w:rPr>
                <w:rFonts w:ascii="Times New Roman" w:hAnsi="Times New Roman"/>
                <w:color w:val="000000" w:themeColor="text1"/>
                <w:sz w:val="24"/>
                <w:szCs w:val="24"/>
              </w:rPr>
            </w:pPr>
            <w:r w:rsidRPr="00FA361A">
              <w:rPr>
                <w:rFonts w:ascii="Times New Roman" w:hAnsi="Times New Roman"/>
                <w:color w:val="000000" w:themeColor="text1"/>
                <w:sz w:val="24"/>
                <w:szCs w:val="24"/>
              </w:rPr>
              <w:t>5</w:t>
            </w:r>
          </w:p>
        </w:tc>
      </w:tr>
      <w:tr w:rsidR="00FA361A" w:rsidRPr="00FA361A" w14:paraId="268C00BB" w14:textId="77777777" w:rsidTr="00FA361A">
        <w:tc>
          <w:tcPr>
            <w:tcW w:w="6840" w:type="dxa"/>
          </w:tcPr>
          <w:p w14:paraId="5697E6CB" w14:textId="77777777" w:rsidR="00FA361A" w:rsidRPr="00FA361A" w:rsidRDefault="00FA361A" w:rsidP="00FA361A">
            <w:pPr>
              <w:suppressAutoHyphens/>
              <w:jc w:val="both"/>
              <w:rPr>
                <w:rFonts w:ascii="Times New Roman" w:hAnsi="Times New Roman"/>
                <w:i/>
                <w:color w:val="000000" w:themeColor="text1"/>
                <w:sz w:val="24"/>
                <w:szCs w:val="24"/>
              </w:rPr>
            </w:pPr>
            <w:r w:rsidRPr="00FA361A">
              <w:rPr>
                <w:rFonts w:ascii="Times New Roman" w:hAnsi="Times New Roman"/>
                <w:i/>
                <w:color w:val="000000" w:themeColor="text1"/>
                <w:sz w:val="24"/>
                <w:szCs w:val="24"/>
              </w:rPr>
              <w:t>Total</w:t>
            </w:r>
          </w:p>
        </w:tc>
        <w:tc>
          <w:tcPr>
            <w:tcW w:w="1512" w:type="dxa"/>
            <w:vAlign w:val="center"/>
          </w:tcPr>
          <w:p w14:paraId="1C7DF0CF" w14:textId="77777777" w:rsidR="00FA361A" w:rsidRPr="00FA361A" w:rsidRDefault="00FA361A" w:rsidP="00FA361A">
            <w:pPr>
              <w:suppressAutoHyphens/>
              <w:jc w:val="center"/>
              <w:rPr>
                <w:rFonts w:ascii="Times New Roman" w:hAnsi="Times New Roman"/>
                <w:i/>
                <w:color w:val="000000" w:themeColor="text1"/>
                <w:sz w:val="24"/>
                <w:szCs w:val="24"/>
              </w:rPr>
            </w:pPr>
            <w:r w:rsidRPr="00FA361A">
              <w:rPr>
                <w:rFonts w:ascii="Times New Roman" w:hAnsi="Times New Roman"/>
                <w:i/>
                <w:color w:val="000000" w:themeColor="text1"/>
                <w:sz w:val="24"/>
                <w:szCs w:val="24"/>
              </w:rPr>
              <w:t>100</w:t>
            </w:r>
          </w:p>
        </w:tc>
      </w:tr>
    </w:tbl>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lastRenderedPageBreak/>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42091F4B"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C130C0">
        <w:rPr>
          <w:rFonts w:ascii="Times New Roman" w:hAnsi="Times New Roman"/>
          <w:spacing w:val="-2"/>
          <w:sz w:val="24"/>
        </w:rPr>
        <w:t xml:space="preserve">only </w:t>
      </w:r>
      <w:r w:rsidR="00026F7E" w:rsidRPr="002C7721">
        <w:rPr>
          <w:rFonts w:ascii="Times New Roman" w:hAnsi="Times New Roman"/>
          <w:spacing w:val="-2"/>
          <w:sz w:val="24"/>
        </w:rPr>
        <w:t>by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FA361A">
        <w:rPr>
          <w:rFonts w:ascii="Times New Roman" w:hAnsi="Times New Roman"/>
          <w:spacing w:val="-2"/>
          <w:sz w:val="24"/>
        </w:rPr>
        <w:t>December 10</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C130C0">
        <w:rPr>
          <w:rFonts w:ascii="Times New Roman" w:hAnsi="Times New Roman"/>
          <w:spacing w:val="-2"/>
          <w:sz w:val="24"/>
        </w:rPr>
        <w:t>21</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6DC72B53"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w:t>
      </w:r>
      <w:r w:rsidR="00756B2A">
        <w:rPr>
          <w:rFonts w:ascii="Times New Roman" w:hAnsi="Times New Roman"/>
          <w:iCs/>
          <w:spacing w:val="-2"/>
          <w:sz w:val="24"/>
        </w:rPr>
        <w:t xml:space="preserve"> and Social Welfare</w:t>
      </w:r>
      <w:r w:rsidRPr="00E6395A">
        <w:rPr>
          <w:rFonts w:ascii="Times New Roman" w:hAnsi="Times New Roman"/>
          <w:iCs/>
          <w:spacing w:val="-2"/>
          <w:sz w:val="24"/>
        </w:rPr>
        <w:t>/Technical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E4CC49F" w:rsidR="00E6395A" w:rsidRPr="00E6395A" w:rsidRDefault="00236807"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04CD6E5" w:rsidR="009830E4" w:rsidRDefault="00E6395A">
      <w:pPr>
        <w:suppressAutoHyphens/>
        <w:rPr>
          <w:spacing w:val="-2"/>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1BAF" w14:textId="77777777" w:rsidR="00027311" w:rsidRDefault="00027311">
      <w:r>
        <w:separator/>
      </w:r>
    </w:p>
  </w:endnote>
  <w:endnote w:type="continuationSeparator" w:id="0">
    <w:p w14:paraId="3763B222" w14:textId="77777777" w:rsidR="00027311" w:rsidRDefault="00027311">
      <w:r>
        <w:rPr>
          <w:sz w:val="24"/>
        </w:rPr>
        <w:t xml:space="preserve"> </w:t>
      </w:r>
    </w:p>
  </w:endnote>
  <w:endnote w:type="continuationNotice" w:id="1">
    <w:p w14:paraId="7F5B5F4C" w14:textId="77777777" w:rsidR="00027311" w:rsidRDefault="000273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DDFD" w14:textId="77777777" w:rsidR="00027311" w:rsidRDefault="00027311">
      <w:r>
        <w:rPr>
          <w:sz w:val="24"/>
        </w:rPr>
        <w:separator/>
      </w:r>
    </w:p>
  </w:footnote>
  <w:footnote w:type="continuationSeparator" w:id="0">
    <w:p w14:paraId="146C5C08" w14:textId="77777777" w:rsidR="00027311" w:rsidRDefault="0002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134CCE"/>
    <w:rsid w:val="00137802"/>
    <w:rsid w:val="00146D68"/>
    <w:rsid w:val="00196614"/>
    <w:rsid w:val="001B0D84"/>
    <w:rsid w:val="001C3893"/>
    <w:rsid w:val="001C4752"/>
    <w:rsid w:val="001D70EB"/>
    <w:rsid w:val="00217B47"/>
    <w:rsid w:val="00236807"/>
    <w:rsid w:val="002461A8"/>
    <w:rsid w:val="002727A9"/>
    <w:rsid w:val="00276E66"/>
    <w:rsid w:val="002B2EC7"/>
    <w:rsid w:val="002C3D26"/>
    <w:rsid w:val="002C4377"/>
    <w:rsid w:val="002C7721"/>
    <w:rsid w:val="002D312A"/>
    <w:rsid w:val="00357959"/>
    <w:rsid w:val="00372355"/>
    <w:rsid w:val="00394CE1"/>
    <w:rsid w:val="003B0ADD"/>
    <w:rsid w:val="003B63F2"/>
    <w:rsid w:val="004011E2"/>
    <w:rsid w:val="004019F6"/>
    <w:rsid w:val="00405133"/>
    <w:rsid w:val="00435556"/>
    <w:rsid w:val="00436995"/>
    <w:rsid w:val="00447B7B"/>
    <w:rsid w:val="004A5E02"/>
    <w:rsid w:val="004C3F92"/>
    <w:rsid w:val="004E721D"/>
    <w:rsid w:val="00561114"/>
    <w:rsid w:val="00593053"/>
    <w:rsid w:val="005A0276"/>
    <w:rsid w:val="005A7A01"/>
    <w:rsid w:val="005C48F5"/>
    <w:rsid w:val="00661C9B"/>
    <w:rsid w:val="00684E8F"/>
    <w:rsid w:val="006D6898"/>
    <w:rsid w:val="006F3706"/>
    <w:rsid w:val="00756B2A"/>
    <w:rsid w:val="00770C55"/>
    <w:rsid w:val="00785CA1"/>
    <w:rsid w:val="00792181"/>
    <w:rsid w:val="007D59F6"/>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13CF4"/>
    <w:rsid w:val="00A27613"/>
    <w:rsid w:val="00A56872"/>
    <w:rsid w:val="00A90DFA"/>
    <w:rsid w:val="00AB71C1"/>
    <w:rsid w:val="00B20153"/>
    <w:rsid w:val="00B3630A"/>
    <w:rsid w:val="00B616A8"/>
    <w:rsid w:val="00BA4299"/>
    <w:rsid w:val="00BC1BB9"/>
    <w:rsid w:val="00BD14B2"/>
    <w:rsid w:val="00BD64C7"/>
    <w:rsid w:val="00BD6CBC"/>
    <w:rsid w:val="00BE11E0"/>
    <w:rsid w:val="00C130C0"/>
    <w:rsid w:val="00C2058C"/>
    <w:rsid w:val="00C24DF1"/>
    <w:rsid w:val="00C523ED"/>
    <w:rsid w:val="00C55D76"/>
    <w:rsid w:val="00C70D43"/>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C130C0"/>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5462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24</cp:revision>
  <cp:lastPrinted>2017-08-01T14:35:00Z</cp:lastPrinted>
  <dcterms:created xsi:type="dcterms:W3CDTF">2018-10-23T14:49:00Z</dcterms:created>
  <dcterms:modified xsi:type="dcterms:W3CDTF">2021-11-25T11:49:00Z</dcterms:modified>
</cp:coreProperties>
</file>